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3D" w:rsidRDefault="00417F3D" w:rsidP="00417F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Observation and Assessment</w:t>
      </w:r>
    </w:p>
    <w:p w:rsidR="00417F3D" w:rsidRPr="00417F3D" w:rsidRDefault="00417F3D" w:rsidP="00417F3D">
      <w:pPr>
        <w:spacing w:after="0"/>
        <w:jc w:val="center"/>
        <w:rPr>
          <w:sz w:val="24"/>
          <w:szCs w:val="24"/>
        </w:rPr>
      </w:pPr>
      <w:r w:rsidRPr="00417F3D">
        <w:rPr>
          <w:sz w:val="24"/>
          <w:szCs w:val="24"/>
        </w:rPr>
        <w:t>Children develop at their own rates, and in their own ways</w:t>
      </w:r>
      <w:r>
        <w:rPr>
          <w:sz w:val="24"/>
          <w:szCs w:val="24"/>
        </w:rPr>
        <w:t>.</w:t>
      </w:r>
    </w:p>
    <w:p w:rsidR="00417F3D" w:rsidRPr="00417F3D" w:rsidRDefault="00F93B12" w:rsidP="00417F3D">
      <w:pPr>
        <w:spacing w:after="0"/>
        <w:jc w:val="center"/>
      </w:pPr>
      <w:r>
        <w:t>Playing and Exploring, Active Learning and Thinking Critically support children’s learning across all areas</w:t>
      </w:r>
      <w:r w:rsidR="00417F3D">
        <w:t>.</w:t>
      </w:r>
    </w:p>
    <w:tbl>
      <w:tblPr>
        <w:tblStyle w:val="TableGrid"/>
        <w:tblpPr w:leftFromText="180" w:rightFromText="180" w:vertAnchor="page" w:horzAnchor="margin" w:tblpY="1546"/>
        <w:tblW w:w="0" w:type="auto"/>
        <w:tblLook w:val="04A0"/>
      </w:tblPr>
      <w:tblGrid>
        <w:gridCol w:w="2093"/>
        <w:gridCol w:w="1467"/>
        <w:gridCol w:w="2823"/>
        <w:gridCol w:w="738"/>
        <w:gridCol w:w="3561"/>
      </w:tblGrid>
      <w:tr w:rsidR="000A287B" w:rsidTr="004F7E81">
        <w:tc>
          <w:tcPr>
            <w:tcW w:w="2093" w:type="dxa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2"/>
          </w:tcPr>
          <w:p w:rsidR="000A287B" w:rsidRPr="00417F3D" w:rsidRDefault="000A287B" w:rsidP="004F7E81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2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Observer</w:t>
            </w:r>
          </w:p>
        </w:tc>
      </w:tr>
      <w:tr w:rsidR="000A287B" w:rsidTr="004F7E81">
        <w:tc>
          <w:tcPr>
            <w:tcW w:w="2093" w:type="dxa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Area of provision</w:t>
            </w:r>
          </w:p>
        </w:tc>
        <w:tc>
          <w:tcPr>
            <w:tcW w:w="8589" w:type="dxa"/>
            <w:gridSpan w:val="4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</w:p>
        </w:tc>
      </w:tr>
      <w:tr w:rsidR="000A287B" w:rsidTr="004F7E81">
        <w:trPr>
          <w:trHeight w:val="332"/>
        </w:trPr>
        <w:tc>
          <w:tcPr>
            <w:tcW w:w="2093" w:type="dxa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290" w:type="dxa"/>
            <w:gridSpan w:val="2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4299" w:type="dxa"/>
            <w:gridSpan w:val="2"/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Duration:</w:t>
            </w:r>
          </w:p>
        </w:tc>
      </w:tr>
      <w:tr w:rsidR="000A287B" w:rsidTr="004F7E81">
        <w:trPr>
          <w:trHeight w:val="14100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0A287B" w:rsidRPr="00417F3D" w:rsidRDefault="000A287B" w:rsidP="004F7E81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 xml:space="preserve">Observation or Photograph (What am I </w:t>
            </w:r>
            <w:proofErr w:type="gramStart"/>
            <w:r w:rsidRPr="00417F3D">
              <w:rPr>
                <w:b/>
                <w:sz w:val="24"/>
                <w:szCs w:val="24"/>
              </w:rPr>
              <w:t>doing ?)</w:t>
            </w:r>
            <w:proofErr w:type="gramEnd"/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7615B7" w:rsidRDefault="007615B7" w:rsidP="004F7E81">
            <w:pPr>
              <w:rPr>
                <w:b/>
                <w:sz w:val="24"/>
                <w:szCs w:val="24"/>
              </w:rPr>
            </w:pPr>
          </w:p>
          <w:p w:rsidR="00417F3D" w:rsidRDefault="00417F3D" w:rsidP="004F7E81">
            <w:pPr>
              <w:rPr>
                <w:b/>
                <w:sz w:val="24"/>
                <w:szCs w:val="24"/>
              </w:rPr>
            </w:pPr>
          </w:p>
          <w:p w:rsidR="0070116A" w:rsidRDefault="0070116A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53610B" w:rsidRDefault="0053610B" w:rsidP="004F7E81">
            <w:pPr>
              <w:rPr>
                <w:b/>
                <w:sz w:val="24"/>
                <w:szCs w:val="24"/>
              </w:rPr>
            </w:pPr>
          </w:p>
          <w:p w:rsidR="004F7E81" w:rsidRPr="00417F3D" w:rsidRDefault="004F7E81" w:rsidP="004F7E81">
            <w:pPr>
              <w:rPr>
                <w:b/>
                <w:sz w:val="24"/>
                <w:szCs w:val="24"/>
              </w:rPr>
            </w:pPr>
          </w:p>
          <w:p w:rsidR="004F7E81" w:rsidRDefault="004F7E81" w:rsidP="004F7E81">
            <w:pPr>
              <w:rPr>
                <w:b/>
                <w:sz w:val="24"/>
                <w:szCs w:val="24"/>
              </w:rPr>
            </w:pPr>
          </w:p>
          <w:p w:rsidR="004F7E81" w:rsidRDefault="004F7E81" w:rsidP="004F7E81">
            <w:pPr>
              <w:rPr>
                <w:b/>
                <w:sz w:val="24"/>
                <w:szCs w:val="24"/>
              </w:rPr>
            </w:pPr>
          </w:p>
          <w:p w:rsidR="004F7E81" w:rsidRDefault="004F7E81" w:rsidP="004F7E81">
            <w:pPr>
              <w:rPr>
                <w:b/>
                <w:sz w:val="24"/>
                <w:szCs w:val="24"/>
              </w:rPr>
            </w:pPr>
          </w:p>
          <w:p w:rsidR="004F7E81" w:rsidRDefault="004F7E81" w:rsidP="004F7E81">
            <w:pPr>
              <w:rPr>
                <w:b/>
                <w:sz w:val="24"/>
                <w:szCs w:val="24"/>
              </w:rPr>
            </w:pPr>
          </w:p>
          <w:p w:rsidR="004F7E81" w:rsidRDefault="004F7E81" w:rsidP="004F7E81">
            <w:pPr>
              <w:rPr>
                <w:b/>
                <w:sz w:val="24"/>
                <w:szCs w:val="24"/>
              </w:rPr>
            </w:pPr>
          </w:p>
          <w:p w:rsidR="007615B7" w:rsidRPr="001A046A" w:rsidRDefault="007615B7" w:rsidP="004F7E81">
            <w:pPr>
              <w:rPr>
                <w:b/>
                <w:sz w:val="24"/>
                <w:szCs w:val="24"/>
              </w:rPr>
            </w:pPr>
          </w:p>
        </w:tc>
      </w:tr>
      <w:tr w:rsidR="000A287B" w:rsidTr="004F7E81">
        <w:trPr>
          <w:trHeight w:val="330"/>
        </w:trPr>
        <w:tc>
          <w:tcPr>
            <w:tcW w:w="10682" w:type="dxa"/>
            <w:gridSpan w:val="5"/>
          </w:tcPr>
          <w:p w:rsidR="000A287B" w:rsidRDefault="000A287B" w:rsidP="004F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Characteristics of </w:t>
            </w:r>
            <w:r w:rsidR="00707601">
              <w:rPr>
                <w:b/>
                <w:sz w:val="24"/>
                <w:szCs w:val="24"/>
              </w:rPr>
              <w:t>Effective</w:t>
            </w:r>
            <w:r w:rsidR="008E7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Learning (How am I </w:t>
            </w:r>
            <w:proofErr w:type="gramStart"/>
            <w:r>
              <w:rPr>
                <w:b/>
                <w:sz w:val="24"/>
                <w:szCs w:val="24"/>
              </w:rPr>
              <w:t>Learning ?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615B7" w:rsidTr="004F7E81">
        <w:trPr>
          <w:trHeight w:val="206"/>
        </w:trPr>
        <w:tc>
          <w:tcPr>
            <w:tcW w:w="3560" w:type="dxa"/>
            <w:gridSpan w:val="2"/>
          </w:tcPr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Playing &amp; Exploring</w:t>
            </w:r>
          </w:p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‘Engagement’</w:t>
            </w:r>
          </w:p>
        </w:tc>
        <w:tc>
          <w:tcPr>
            <w:tcW w:w="3561" w:type="dxa"/>
            <w:gridSpan w:val="2"/>
          </w:tcPr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Active Learning</w:t>
            </w:r>
          </w:p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‘Motivation’</w:t>
            </w:r>
          </w:p>
        </w:tc>
        <w:tc>
          <w:tcPr>
            <w:tcW w:w="3561" w:type="dxa"/>
          </w:tcPr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Creating &amp; Thinking Critically</w:t>
            </w:r>
          </w:p>
          <w:p w:rsidR="007615B7" w:rsidRPr="007615B7" w:rsidRDefault="007615B7" w:rsidP="004F7E81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‘Thinking’</w:t>
            </w:r>
          </w:p>
        </w:tc>
      </w:tr>
      <w:tr w:rsidR="004F7E81" w:rsidTr="004F7E81">
        <w:trPr>
          <w:trHeight w:val="1440"/>
        </w:trPr>
        <w:tc>
          <w:tcPr>
            <w:tcW w:w="3560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Finding out and exploring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Showing curiosity about objects, events and people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Using senses to explore the world around them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Engaging in open-ended activity</w:t>
            </w:r>
          </w:p>
          <w:p w:rsidR="004F7E81" w:rsidRPr="004F7E81" w:rsidRDefault="004F7E81" w:rsidP="004F7E81">
            <w:pPr>
              <w:rPr>
                <w:sz w:val="18"/>
                <w:szCs w:val="18"/>
              </w:rPr>
            </w:pPr>
            <w:r w:rsidRPr="004F7E81">
              <w:rPr>
                <w:rFonts w:ascii="HelveticaNeue-Light" w:hAnsi="HelveticaNeue-Light" w:cs="HelveticaNeue-Light"/>
                <w:sz w:val="18"/>
                <w:szCs w:val="18"/>
              </w:rPr>
              <w:t>• Showing particular interests</w:t>
            </w:r>
          </w:p>
        </w:tc>
        <w:tc>
          <w:tcPr>
            <w:tcW w:w="3561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Being involved and concentrating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Maintaining focus on their activity for a period of time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Showing high levels of energy, fascination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Not easily distracted</w:t>
            </w:r>
          </w:p>
          <w:p w:rsidR="004F7E81" w:rsidRDefault="004F7E81" w:rsidP="004F7E81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Paying attention to details</w:t>
            </w:r>
          </w:p>
          <w:p w:rsidR="004F7E81" w:rsidRPr="00707601" w:rsidRDefault="004F7E81" w:rsidP="004F7E81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Having their own ideas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Thinking of ideas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Finding ways to solve problems</w:t>
            </w:r>
          </w:p>
          <w:p w:rsidR="004F7E81" w:rsidRDefault="004F7E81" w:rsidP="004F7E81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707601">
              <w:rPr>
                <w:rFonts w:ascii="HelveticaNeue-Light" w:hAnsi="HelveticaNeue-Light" w:cs="HelveticaNeue-Light"/>
                <w:sz w:val="18"/>
                <w:szCs w:val="18"/>
              </w:rPr>
              <w:t>• Finding new ways to do thing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4F7E81" w:rsidRPr="0070760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7E81" w:rsidTr="004F7E81">
        <w:trPr>
          <w:trHeight w:val="1655"/>
        </w:trPr>
        <w:tc>
          <w:tcPr>
            <w:tcW w:w="3560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Playing with what they know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Pretending objects are things from their experience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Representing their experiences in play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Taking on a role in their play</w:t>
            </w:r>
          </w:p>
          <w:p w:rsidR="004F7E81" w:rsidRPr="004F7E81" w:rsidRDefault="004F7E81" w:rsidP="004F7E81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Acting out experiences with other people</w:t>
            </w:r>
          </w:p>
        </w:tc>
        <w:tc>
          <w:tcPr>
            <w:tcW w:w="3561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Keeping on trying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Persisting with </w:t>
            </w:r>
            <w:r w:rsidR="008E74EA">
              <w:rPr>
                <w:rFonts w:ascii="HelveticaNeue-Light" w:hAnsi="HelveticaNeue-Light" w:cs="HelveticaNeue-Light"/>
                <w:sz w:val="18"/>
                <w:szCs w:val="18"/>
              </w:rPr>
              <w:t>activity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when challenges occur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Showing a belief that more effort or a different approach wil</w:t>
            </w:r>
            <w:r w:rsidR="008E74EA">
              <w:rPr>
                <w:rFonts w:ascii="HelveticaNeue-Light" w:hAnsi="HelveticaNeue-Light" w:cs="HelveticaNeue-Light"/>
                <w:sz w:val="18"/>
                <w:szCs w:val="18"/>
              </w:rPr>
              <w:t xml:space="preserve">l 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>pay off</w:t>
            </w:r>
          </w:p>
          <w:p w:rsidR="004F7E81" w:rsidRPr="00707601" w:rsidRDefault="004F7E81" w:rsidP="004F7E81">
            <w:pPr>
              <w:rPr>
                <w:sz w:val="18"/>
                <w:szCs w:val="18"/>
              </w:rPr>
            </w:pPr>
            <w:r w:rsidRPr="00707601">
              <w:rPr>
                <w:rFonts w:ascii="HelveticaNeue-Light" w:hAnsi="HelveticaNeue-Light" w:cs="HelveticaNeue-Light"/>
                <w:sz w:val="18"/>
                <w:szCs w:val="18"/>
              </w:rPr>
              <w:t>• Bouncing back after difficulties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</w:tc>
        <w:tc>
          <w:tcPr>
            <w:tcW w:w="3561" w:type="dxa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Making links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Making links and noticing patterns in their experience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Making predictions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Testing their ideas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Developing ideas of grouping, sequences, cause and effect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</w:tc>
      </w:tr>
      <w:tr w:rsidR="004F7E81" w:rsidTr="004F7E81">
        <w:trPr>
          <w:trHeight w:val="2160"/>
        </w:trPr>
        <w:tc>
          <w:tcPr>
            <w:tcW w:w="3560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000000"/>
                <w:sz w:val="18"/>
                <w:szCs w:val="18"/>
              </w:rPr>
              <w:t>Being willing to ‘have a go’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• Initiating activities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• Seeking challenge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• Showing a ‘can do’ attitude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• Taking a risk, engaging in new experiences, and learning by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trial and error</w:t>
            </w:r>
          </w:p>
          <w:p w:rsidR="004F7E81" w:rsidRDefault="004F7E81" w:rsidP="004F7E81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FFFFFF"/>
              </w:rPr>
              <w:t>A</w:t>
            </w:r>
          </w:p>
        </w:tc>
        <w:tc>
          <w:tcPr>
            <w:tcW w:w="3561" w:type="dxa"/>
            <w:gridSpan w:val="2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Enjoying achieving what they set out to do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Showing satisfaction in meeting their own goals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Being proud of how they accomplished something – not just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the end result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Enjoying meeting challenges for their own sake rather than </w:t>
            </w:r>
            <w:r w:rsidRPr="004F7E81">
              <w:rPr>
                <w:rFonts w:ascii="HelveticaNeue-Light" w:hAnsi="HelveticaNeue-Light" w:cs="HelveticaNeue-Light"/>
                <w:sz w:val="18"/>
                <w:szCs w:val="18"/>
              </w:rPr>
              <w:t>external rewards or praise</w:t>
            </w:r>
          </w:p>
          <w:p w:rsidR="004F7E81" w:rsidRPr="0070760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Choosing ways to do things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Planning, making decisions about how to approach a task, solve a problem and reach a goal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Checking how well their activities are going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Changing strategy as needed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Reviewing how well the approach worked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</w:tc>
      </w:tr>
      <w:tr w:rsidR="004F7E81" w:rsidTr="004F7E81">
        <w:trPr>
          <w:trHeight w:val="7526"/>
        </w:trPr>
        <w:tc>
          <w:tcPr>
            <w:tcW w:w="10682" w:type="dxa"/>
            <w:gridSpan w:val="5"/>
          </w:tcPr>
          <w:p w:rsidR="004F7E81" w:rsidRDefault="008E74EA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 xml:space="preserve"> </w:t>
            </w:r>
            <w:r w:rsidRPr="008E74EA">
              <w:rPr>
                <w:rFonts w:ascii="HelveticaNeue-Roman" w:hAnsi="HelveticaNeue-Roman" w:cs="HelveticaNeue-Roman"/>
                <w:color w:val="FF0000"/>
                <w:sz w:val="20"/>
                <w:szCs w:val="20"/>
              </w:rPr>
              <w:t>Learning and Development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</w:tc>
      </w:tr>
      <w:tr w:rsidR="004F7E81" w:rsidTr="004F7E81">
        <w:trPr>
          <w:trHeight w:val="1080"/>
        </w:trPr>
        <w:tc>
          <w:tcPr>
            <w:tcW w:w="10682" w:type="dxa"/>
            <w:gridSpan w:val="5"/>
          </w:tcPr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7F3D">
              <w:rPr>
                <w:b/>
                <w:sz w:val="20"/>
                <w:szCs w:val="20"/>
              </w:rPr>
              <w:t>Next steps: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7E81" w:rsidTr="004F7E81">
        <w:trPr>
          <w:trHeight w:val="435"/>
        </w:trPr>
        <w:tc>
          <w:tcPr>
            <w:tcW w:w="10682" w:type="dxa"/>
            <w:gridSpan w:val="5"/>
          </w:tcPr>
          <w:p w:rsidR="004F7E81" w:rsidRDefault="004F7E81" w:rsidP="004F7E81">
            <w:pPr>
              <w:rPr>
                <w:b/>
                <w:sz w:val="20"/>
                <w:szCs w:val="20"/>
              </w:rPr>
            </w:pPr>
            <w:r w:rsidRPr="00417F3D">
              <w:rPr>
                <w:b/>
                <w:sz w:val="20"/>
                <w:szCs w:val="20"/>
              </w:rPr>
              <w:t>Date added to planning:</w:t>
            </w:r>
          </w:p>
          <w:p w:rsidR="004F7E81" w:rsidRDefault="004F7E81" w:rsidP="004F7E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56854" w:rsidRDefault="00E56854"/>
    <w:sectPr w:rsidR="00E56854" w:rsidSect="0070116A">
      <w:pgSz w:w="11906" w:h="16838"/>
      <w:pgMar w:top="39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2AD0"/>
    <w:multiLevelType w:val="hybridMultilevel"/>
    <w:tmpl w:val="3F64508A"/>
    <w:lvl w:ilvl="0" w:tplc="66B47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3B12"/>
    <w:rsid w:val="000A287B"/>
    <w:rsid w:val="00417F3D"/>
    <w:rsid w:val="004F7E81"/>
    <w:rsid w:val="0053610B"/>
    <w:rsid w:val="0070116A"/>
    <w:rsid w:val="00707601"/>
    <w:rsid w:val="007615B7"/>
    <w:rsid w:val="00850D74"/>
    <w:rsid w:val="00863480"/>
    <w:rsid w:val="008E74EA"/>
    <w:rsid w:val="009410E3"/>
    <w:rsid w:val="00A35FDD"/>
    <w:rsid w:val="00A575AA"/>
    <w:rsid w:val="00A63CD3"/>
    <w:rsid w:val="00E56854"/>
    <w:rsid w:val="00F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Rosemarie</cp:lastModifiedBy>
  <cp:revision>2</cp:revision>
  <cp:lastPrinted>2012-07-11T12:56:00Z</cp:lastPrinted>
  <dcterms:created xsi:type="dcterms:W3CDTF">2012-07-15T21:59:00Z</dcterms:created>
  <dcterms:modified xsi:type="dcterms:W3CDTF">2012-07-15T21:59:00Z</dcterms:modified>
</cp:coreProperties>
</file>